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РАЙОН «РОВЕНЬСКИЙ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ВЕРХНЕСЕРЕБРЯНСКОГО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Style1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 11» октября 2022 г.                                                                   №  37</w:t>
      </w:r>
    </w:p>
    <w:p>
      <w:pPr>
        <w:pStyle w:val="Normal"/>
        <w:jc w:val="center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pacing w:val="-8"/>
          <w:sz w:val="28"/>
          <w:szCs w:val="28"/>
        </w:rPr>
        <w:t>Верхнесеребрянского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от 22 июля  2019 года №25 </w:t>
      </w:r>
      <w:r>
        <w:rPr>
          <w:rFonts w:ascii="Times New Roman" w:hAnsi="Times New Roman"/>
          <w:b/>
          <w:spacing w:val="-9"/>
          <w:sz w:val="30"/>
          <w:szCs w:val="30"/>
        </w:rPr>
        <w:t xml:space="preserve"> «Об утверждении Порядка формирования перечня налоговых расходов 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Верхнесеребрянского сельского поселения </w:t>
      </w:r>
      <w:r>
        <w:rPr>
          <w:rFonts w:ascii="Times New Roman" w:hAnsi="Times New Roman"/>
          <w:b/>
          <w:spacing w:val="-8"/>
          <w:sz w:val="30"/>
          <w:szCs w:val="30"/>
        </w:rPr>
        <w:t xml:space="preserve">и оценки налоговых расходов 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Верхнесеребрянского сельского поселения»</w:t>
      </w:r>
    </w:p>
    <w:p>
      <w:pPr>
        <w:pStyle w:val="NoSpacing"/>
        <w:rPr>
          <w:rFonts w:ascii="Times New Roman" w:hAnsi="Times New Roman"/>
          <w:b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</w:r>
    </w:p>
    <w:p>
      <w:pPr>
        <w:pStyle w:val="Normal"/>
        <w:shd w:val="clear" w:color="auto" w:fill="FFFFFF"/>
        <w:ind w:right="13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целях повышения эффективности реализации 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pacing w:val="-4"/>
          <w:sz w:val="28"/>
          <w:szCs w:val="28"/>
        </w:rPr>
        <w:t xml:space="preserve">от 22 июня 2019 года № 796 «Об общих требованиях к оценке налоговых </w:t>
      </w:r>
      <w:r>
        <w:rPr>
          <w:rFonts w:ascii="Times New Roman" w:hAnsi="Times New Roman"/>
          <w:spacing w:val="-8"/>
          <w:sz w:val="28"/>
          <w:szCs w:val="28"/>
        </w:rPr>
        <w:t xml:space="preserve">расходов субъектов Российской Федерации и муниципальных образований» и в соответствии с постановлением Правительства Белгородской области от 5 ноября 2019 года №468-пп «Об утверждении Порядка формирования перечня налоговых расходов Белгородской области и оценки налоговых расходов Белгородской области» администрация Верхнесеребрянского сельского поселения  </w:t>
      </w:r>
      <w:r>
        <w:rPr>
          <w:rFonts w:ascii="Times New Roman" w:hAnsi="Times New Roman"/>
          <w:b/>
          <w:bCs/>
          <w:spacing w:val="48"/>
          <w:sz w:val="28"/>
          <w:szCs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1070" w:leader="none"/>
        </w:tabs>
        <w:ind w:right="132" w:firstLine="725"/>
        <w:jc w:val="both"/>
        <w:rPr>
          <w:rFonts w:ascii="Times New Roman" w:hAnsi="Times New Roman"/>
          <w:spacing w:val="-31"/>
          <w:sz w:val="30"/>
          <w:szCs w:val="30"/>
        </w:rPr>
      </w:pPr>
      <w:r>
        <w:rPr>
          <w:rFonts w:ascii="Times New Roman" w:hAnsi="Times New Roman"/>
          <w:spacing w:val="-9"/>
          <w:sz w:val="30"/>
          <w:szCs w:val="30"/>
        </w:rPr>
        <w:t xml:space="preserve"> </w:t>
      </w:r>
      <w:r>
        <w:rPr>
          <w:rFonts w:ascii="Times New Roman" w:hAnsi="Times New Roman"/>
          <w:spacing w:val="-9"/>
          <w:sz w:val="30"/>
          <w:szCs w:val="30"/>
        </w:rPr>
        <w:t xml:space="preserve">Внести изменения в постановление администрации </w:t>
      </w:r>
      <w:r>
        <w:rPr>
          <w:rFonts w:ascii="Times New Roman" w:hAnsi="Times New Roman"/>
          <w:spacing w:val="-8"/>
          <w:sz w:val="28"/>
          <w:szCs w:val="28"/>
        </w:rPr>
        <w:t>Верхнесеребрянского сельского поселения</w:t>
      </w:r>
      <w:r>
        <w:rPr>
          <w:rFonts w:ascii="Times New Roman" w:hAnsi="Times New Roman"/>
          <w:spacing w:val="-9"/>
          <w:sz w:val="30"/>
          <w:szCs w:val="30"/>
        </w:rPr>
        <w:t xml:space="preserve"> от 22 июля 2019 года № 25 «Об утверждении Порядка формирования перечня налоговых расходов  </w:t>
      </w:r>
      <w:r>
        <w:rPr>
          <w:rFonts w:ascii="Times New Roman" w:hAnsi="Times New Roman"/>
          <w:spacing w:val="-8"/>
          <w:sz w:val="28"/>
          <w:szCs w:val="28"/>
        </w:rPr>
        <w:t>Верхнесеребрянского сельского поселения</w:t>
      </w:r>
      <w:r>
        <w:rPr>
          <w:rFonts w:ascii="Times New Roman" w:hAnsi="Times New Roman"/>
          <w:spacing w:val="-9"/>
          <w:sz w:val="30"/>
          <w:szCs w:val="30"/>
        </w:rPr>
        <w:t xml:space="preserve"> и оценки налоговых расходов  </w:t>
      </w:r>
      <w:r>
        <w:rPr>
          <w:rFonts w:ascii="Times New Roman" w:hAnsi="Times New Roman"/>
          <w:spacing w:val="-8"/>
          <w:sz w:val="28"/>
          <w:szCs w:val="28"/>
        </w:rPr>
        <w:t xml:space="preserve">Верхнесеребрянского сельского поселения» изложив </w:t>
      </w:r>
      <w:r>
        <w:rPr>
          <w:rFonts w:ascii="Times New Roman" w:hAnsi="Times New Roman"/>
          <w:spacing w:val="-9"/>
          <w:sz w:val="30"/>
          <w:szCs w:val="30"/>
        </w:rPr>
        <w:t xml:space="preserve">Порядок формирования перечня налоговых расходов </w:t>
      </w:r>
      <w:r>
        <w:rPr>
          <w:rFonts w:ascii="Times New Roman" w:hAnsi="Times New Roman"/>
          <w:spacing w:val="-8"/>
          <w:sz w:val="28"/>
          <w:szCs w:val="28"/>
        </w:rPr>
        <w:t>Верхнесеребрянского сельского поселения</w:t>
      </w:r>
      <w:r>
        <w:rPr>
          <w:rFonts w:ascii="Times New Roman" w:hAnsi="Times New Roman"/>
          <w:spacing w:val="-8"/>
          <w:sz w:val="30"/>
          <w:szCs w:val="30"/>
        </w:rPr>
        <w:t xml:space="preserve"> и оценки налоговых расходов </w:t>
      </w:r>
      <w:r>
        <w:rPr>
          <w:rFonts w:ascii="Times New Roman" w:hAnsi="Times New Roman"/>
          <w:spacing w:val="-8"/>
          <w:sz w:val="28"/>
          <w:szCs w:val="28"/>
        </w:rPr>
        <w:t>Верхнесеребрянского сельского поселения, в новой редакции  (прилагается).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clear" w:pos="708"/>
          <w:tab w:val="left" w:pos="1070" w:leader="none"/>
        </w:tabs>
        <w:ind w:left="0" w:right="132" w:hanging="0"/>
        <w:jc w:val="both"/>
        <w:rPr>
          <w:rFonts w:ascii="Times New Roman" w:hAnsi="Times New Roman"/>
          <w:spacing w:val="-31"/>
          <w:sz w:val="30"/>
          <w:szCs w:val="30"/>
        </w:rPr>
      </w:pPr>
      <w:r>
        <w:rPr>
          <w:rFonts w:ascii="Times New Roman" w:hAnsi="Times New Roman"/>
          <w:spacing w:val="-31"/>
          <w:sz w:val="30"/>
          <w:szCs w:val="30"/>
        </w:rPr>
      </w:r>
    </w:p>
    <w:p>
      <w:pPr>
        <w:pStyle w:val="NoSpacing"/>
        <w:numPr>
          <w:ilvl w:val="0"/>
          <w:numId w:val="0"/>
        </w:numPr>
        <w:ind w:left="0" w:right="132" w:hanging="0"/>
        <w:jc w:val="both"/>
        <w:rPr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  <w:shd w:fill="auto" w:val="clear"/>
        </w:rPr>
        <w:t xml:space="preserve">         </w:t>
      </w:r>
      <w:r>
        <w:rPr>
          <w:rFonts w:ascii="Times New Roman" w:hAnsi="Times New Roman"/>
          <w:spacing w:val="-8"/>
          <w:sz w:val="28"/>
          <w:szCs w:val="28"/>
          <w:shd w:fill="auto" w:val="clear"/>
        </w:rPr>
        <w:t xml:space="preserve">2. 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>Контроль за исполнением постановления возложить на экономиста-финансиста администрации Верхнесеребрянского  сельского  поселения Запорожцев</w:t>
      </w:r>
      <w:r>
        <w:rPr>
          <w:rFonts w:ascii="Times New Roman" w:hAnsi="Times New Roman"/>
          <w:spacing w:val="-8"/>
          <w:sz w:val="28"/>
          <w:szCs w:val="28"/>
          <w:lang w:val="ru-RU" w:eastAsia="ru-RU"/>
        </w:rPr>
        <w:t>у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 И.А.</w:t>
      </w:r>
    </w:p>
    <w:p>
      <w:pPr>
        <w:pStyle w:val="NoSpacing"/>
        <w:ind w:right="132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pacing w:val="-8"/>
          <w:sz w:val="28"/>
          <w:szCs w:val="28"/>
        </w:rPr>
        <w:t>Верхнесеребрянского сельского поселения                                            Улезько Л.Н.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3828" w:leader="none"/>
        </w:tabs>
        <w:ind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3828" w:leader="none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3828" w:leader="none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3828" w:leader="none"/>
        </w:tabs>
        <w:ind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3828" w:leader="none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3828" w:leader="none"/>
        </w:tabs>
        <w:ind w:firstLine="709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Приложение</w:t>
      </w:r>
    </w:p>
    <w:p>
      <w:pPr>
        <w:pStyle w:val="Normal"/>
        <w:shd w:val="clear" w:color="auto" w:fill="FFFFFF"/>
        <w:ind w:firstLine="709"/>
        <w:jc w:val="right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к постановлению администрации</w:t>
      </w:r>
    </w:p>
    <w:p>
      <w:pPr>
        <w:pStyle w:val="Normal"/>
        <w:shd w:val="clear" w:color="auto" w:fill="FFFFFF"/>
        <w:ind w:left="566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  сельского поселения</w:t>
      </w:r>
    </w:p>
    <w:p>
      <w:pPr>
        <w:pStyle w:val="Normal"/>
        <w:shd w:val="clear" w:color="auto" w:fill="FFFFFF"/>
        <w:ind w:left="4955" w:firstLine="709"/>
        <w:jc w:val="center"/>
        <w:rPr/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«11»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октября  </w:t>
      </w:r>
      <w:r>
        <w:rPr>
          <w:rFonts w:ascii="Times New Roman" w:hAnsi="Times New Roman"/>
          <w:bCs/>
          <w:sz w:val="28"/>
          <w:szCs w:val="28"/>
        </w:rPr>
        <w:t>2022 г. № 37</w:t>
      </w:r>
    </w:p>
    <w:p>
      <w:pPr>
        <w:pStyle w:val="Normal"/>
        <w:shd w:val="clear" w:color="auto" w:fill="FFFFFF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2410" w:leader="none"/>
        </w:tabs>
        <w:jc w:val="center"/>
        <w:rPr>
          <w:rFonts w:ascii="Times New Roman" w:hAnsi="Times New Roman"/>
          <w:b/>
          <w:b/>
          <w:bCs/>
          <w:spacing w:val="-3"/>
          <w:sz w:val="28"/>
          <w:szCs w:val="28"/>
        </w:rPr>
      </w:pPr>
      <w:bookmarkStart w:id="0" w:name="__DdeLink__579_3363875560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>
      <w:pPr>
        <w:pStyle w:val="Normal"/>
        <w:shd w:val="clear" w:color="auto" w:fill="FFFFFF"/>
        <w:tabs>
          <w:tab w:val="clear" w:pos="708"/>
          <w:tab w:val="left" w:pos="2410" w:leader="none"/>
        </w:tabs>
        <w:jc w:val="center"/>
        <w:rPr>
          <w:rFonts w:ascii="Times New Roman" w:hAnsi="Times New Roman"/>
          <w:b/>
          <w:b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формирования перечня налоговых расходов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и оценки налоговых расходов 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</w:t>
      </w:r>
    </w:p>
    <w:p>
      <w:pPr>
        <w:pStyle w:val="Normal"/>
        <w:shd w:val="clear" w:color="auto" w:fill="FFFFFF"/>
        <w:tabs>
          <w:tab w:val="clear" w:pos="708"/>
          <w:tab w:val="left" w:pos="2410" w:leader="none"/>
        </w:tabs>
        <w:jc w:val="center"/>
        <w:rPr>
          <w:rFonts w:ascii="Times New Roman" w:hAnsi="Times New Roman"/>
          <w:b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</w:r>
      <w:bookmarkStart w:id="1" w:name="__DdeLink__579_33638755601"/>
      <w:bookmarkStart w:id="2" w:name="__DdeLink__579_33638755601"/>
      <w:bookmarkEnd w:id="2"/>
    </w:p>
    <w:p>
      <w:pPr>
        <w:pStyle w:val="Normal"/>
        <w:shd w:val="clear" w:color="auto" w:fill="FFFFFF"/>
        <w:tabs>
          <w:tab w:val="clear" w:pos="708"/>
          <w:tab w:val="left" w:pos="2410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Общие положения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4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Порядок формирования перечня налоговых расходов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 оценки налоговых расходов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— Порядок) определяет порядок формирования перечня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(далее - перечень налоговых расходов), порядок  оценки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поселения, порядок обобщения результатов оценки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поселения, правила формирования информации о нормативных, целевых и фискальных характеристиках налоговых расходов, порядок оценки планируемых к предоставлению налоговых расходов.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3"/>
          <w:sz w:val="28"/>
          <w:szCs w:val="28"/>
        </w:rPr>
        <w:t xml:space="preserve">1.2. </w:t>
      </w:r>
      <w:r>
        <w:rPr>
          <w:rFonts w:ascii="Times New Roman" w:hAnsi="Times New Roman"/>
          <w:spacing w:val="-1"/>
          <w:sz w:val="28"/>
          <w:szCs w:val="28"/>
        </w:rPr>
        <w:t xml:space="preserve">В Порядке используются понятия в том же значении, что и в Общих </w:t>
      </w:r>
      <w:hyperlink r:id="rId2">
        <w:r>
          <w:rPr>
            <w:rFonts w:ascii="Times New Roman" w:hAnsi="Times New Roman"/>
            <w:spacing w:val="-1"/>
            <w:sz w:val="28"/>
            <w:szCs w:val="28"/>
          </w:rPr>
          <w:t>требованиях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к оценке налоговых расходов муниципальных образований (далее - Общие требования к оценке налоговых расходов), утвержденных Постановлением Правительства Российской Федерации от 22 июня 2019 года № 796 "Об общих требованиях к оценке налоговых расходов муниципальных образований".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2"/>
          <w:sz w:val="28"/>
          <w:szCs w:val="28"/>
        </w:rPr>
        <w:t>1.3.</w:t>
      </w:r>
      <w:r>
        <w:rPr>
          <w:rFonts w:ascii="Times New Roman" w:hAnsi="Times New Roman"/>
          <w:spacing w:val="-1"/>
          <w:sz w:val="28"/>
          <w:szCs w:val="28"/>
        </w:rPr>
        <w:t xml:space="preserve">Уполномоченным органом, осуществляющим взаимодействие с Управлением Федеральной налоговой службы по Белгородской области (далее - УФНС по Белгородской области) и кураторами налоговых расходов в целях реализации Порядка, является администрация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(далее - Администрация).</w:t>
      </w:r>
    </w:p>
    <w:p>
      <w:pPr>
        <w:pStyle w:val="Normal"/>
        <w:shd w:val="clear" w:color="auto" w:fill="FFFFFF"/>
        <w:tabs>
          <w:tab w:val="clear" w:pos="708"/>
          <w:tab w:val="left" w:pos="1210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1.4.</w:t>
      </w:r>
      <w:r>
        <w:rPr>
          <w:rFonts w:ascii="Times New Roman" w:hAnsi="Times New Roman"/>
          <w:spacing w:val="-1"/>
          <w:sz w:val="28"/>
          <w:szCs w:val="28"/>
        </w:rPr>
        <w:t>В целях оценки налоговых расходов Администрация:</w:t>
      </w:r>
    </w:p>
    <w:p>
      <w:pPr>
        <w:pStyle w:val="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а) </w:t>
      </w:r>
      <w:r>
        <w:rPr>
          <w:rFonts w:ascii="Times New Roman" w:hAnsi="Times New Roman"/>
          <w:spacing w:val="-1"/>
          <w:sz w:val="28"/>
          <w:szCs w:val="28"/>
        </w:rPr>
        <w:t>формирует и утверждает  перечень налоговых расходов ежегодно в сроки, установленные Порядком;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б) </w:t>
      </w:r>
      <w:r>
        <w:rPr>
          <w:rFonts w:ascii="Times New Roman" w:hAnsi="Times New Roman"/>
          <w:spacing w:val="-1"/>
          <w:sz w:val="28"/>
          <w:szCs w:val="28"/>
        </w:rPr>
        <w:t xml:space="preserve">формирует информацию о нормативных и целевых характеристиках налоговых расходов;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в) осуществляет сбор информации о фискальных характеристиках налоговых расходов на основании данных, предоставляемых УФНС по Белгородской области и кураторами налоговых расходов;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г) формирует и направляет кураторам налоговых расходов информацию о налоговых расходах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поселения, необходимую для проведения их оценки;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д) обобщает результаты оценки налоговых расходов, формирует сводную оценку налоговых расходов на основе данных, представленных кураторами налоговых расходов;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е)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ж) представляет в Управление финансов администрации Ровеньского района данные об оценке налоговых расходов согласно Общим требованиям к оценке налоговых расходов;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з) осуществляет иные полномочия уполномоченного органа в соответствии с Общими требованиями к оценке налоговых расходов.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П. Порядок формирования перечня налоговых расходов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0"/>
          <w:sz w:val="28"/>
          <w:szCs w:val="28"/>
        </w:rPr>
        <w:t xml:space="preserve">2.1. </w:t>
      </w:r>
      <w:r>
        <w:rPr>
          <w:rFonts w:ascii="Times New Roman" w:hAnsi="Times New Roman"/>
          <w:spacing w:val="-1"/>
          <w:sz w:val="28"/>
          <w:szCs w:val="28"/>
        </w:rPr>
        <w:t xml:space="preserve">Проект перечня налоговых расходов на очередной финансовый год и плановый период формируется Администрацией до 1 сентября текущего финансового года в разрезе </w:t>
      </w:r>
      <w:r>
        <w:rPr>
          <w:rFonts w:ascii="Times New Roman" w:hAnsi="Times New Roman"/>
          <w:spacing w:val="-10"/>
          <w:sz w:val="28"/>
          <w:szCs w:val="28"/>
        </w:rPr>
        <w:t xml:space="preserve">муниципальных программ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0"/>
          <w:sz w:val="28"/>
          <w:szCs w:val="28"/>
        </w:rPr>
        <w:t xml:space="preserve"> сельского поселения и их структурных элементов, а также направлений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 xml:space="preserve">не относящихся к муниципальным программам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и направляется на согласование ответственным исполнителям муниципальных программ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а также в заинтересованные органы местного самоуправления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которые проектом перечня налоговых расходов предлагается закрепить в качестве кураторов налоговых расходов.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0"/>
          <w:sz w:val="28"/>
          <w:szCs w:val="28"/>
        </w:rPr>
        <w:t xml:space="preserve">2.2. </w:t>
      </w:r>
      <w:bookmarkStart w:id="3" w:name="p01"/>
      <w:bookmarkEnd w:id="3"/>
      <w:r>
        <w:rPr>
          <w:rFonts w:ascii="Times New Roman" w:hAnsi="Times New Roman"/>
          <w:spacing w:val="-1"/>
          <w:sz w:val="28"/>
          <w:szCs w:val="28"/>
        </w:rPr>
        <w:t xml:space="preserve">Органы, указанные в </w:t>
      </w:r>
      <w:hyperlink r:id="rId3">
        <w:r>
          <w:rPr>
            <w:rFonts w:ascii="Times New Roman" w:hAnsi="Times New Roman"/>
            <w:spacing w:val="-1"/>
            <w:sz w:val="28"/>
            <w:szCs w:val="28"/>
          </w:rPr>
          <w:t>пункте 2.1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по муниципальным программам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поселения, их структурным элементам, направлениям деятельности, не относящимся к муниципальным программам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а также определения кураторов налоговых расходов и направляют информацию о результатах его рассмотрения в Администрацию.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не направлена в Администрацию в срок, указанный в первом абзаце настоящего пункта, проект перечня налоговых расходов считается согласованным.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местного самоуправления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2.3. После завершения процедур, указанных в </w:t>
      </w:r>
      <w:hyperlink w:anchor="p0">
        <w:r>
          <w:rPr>
            <w:rFonts w:ascii="Times New Roman" w:hAnsi="Times New Roman"/>
            <w:spacing w:val="-1"/>
            <w:sz w:val="28"/>
            <w:szCs w:val="28"/>
          </w:rPr>
          <w:t>пункте 2.2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настоящего раздела, согласованный перечень налоговых расходов утверждается распоряжением администрации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и до 1 декабря текущего финансового года размещается на официальном сайте органов местного самоуправления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в сети Интернет.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структурные элементы муниципальных программ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и (или) в случае изменения полномочий органов, указанных в </w:t>
      </w:r>
      <w:hyperlink r:id="rId4">
        <w:r>
          <w:rPr>
            <w:rFonts w:ascii="Times New Roman" w:hAnsi="Times New Roman"/>
            <w:spacing w:val="-1"/>
            <w:sz w:val="28"/>
            <w:szCs w:val="28"/>
          </w:rPr>
          <w:t>пункте 2.1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настоящего Порядка, в связи с которыми возникает необходимость внесения изменений в перечень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кураторы налоговых расходов не позднее 10 (десяти) рабочих дней со дня внесения соответствующих изменений направляют в Администрацию соответствующую информацию для уточнения перечня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поселения. 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</w:r>
    </w:p>
    <w:p>
      <w:pPr>
        <w:pStyle w:val="Normal"/>
        <w:shd w:val="clear" w:color="auto" w:fill="FFFFFF"/>
        <w:ind w:left="709" w:hanging="0"/>
        <w:jc w:val="center"/>
        <w:rPr>
          <w:rFonts w:ascii="Times New Roman" w:hAnsi="Times New Roman"/>
          <w:b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 Порядок проведения оценки налоговых расходов </w:t>
      </w:r>
    </w:p>
    <w:p>
      <w:pPr>
        <w:pStyle w:val="Normal"/>
        <w:shd w:val="clear" w:color="auto" w:fill="FFFFFF"/>
        <w:ind w:left="709" w:hanging="0"/>
        <w:jc w:val="center"/>
        <w:rPr>
          <w:rFonts w:ascii="Times New Roman" w:hAnsi="Times New Roman"/>
          <w:b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сельского поселения</w:t>
      </w:r>
    </w:p>
    <w:p>
      <w:pPr>
        <w:pStyle w:val="Normal"/>
        <w:shd w:val="clear" w:color="auto" w:fill="FFFFFF"/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3.1. Оценка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ежегодно осуществляется кураторами налоговых расходов и включает: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оценку целесообразности налоговых расходов;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оценку результативности налоговых расходов.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3.2. Критериями целесообразности налоговых расходов являются: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- соответствие налоговых расходов целям муниципальных программ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структурным элементам муниципальным программ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 сельского поселения;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Администрацию предложения о сохранении (уточнении, отмене) льгот для плательщиков.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>
        <w:rPr>
          <w:rFonts w:ascii="Times New Roman" w:hAnsi="Times New Roman"/>
          <w:color w:val="FF8000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3.4. Оценка результативности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включает оценку бюджетной эффективности налоговых расходов.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3.5. Сравнительный анализ включает сравнение объемов расходов местного бюджета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в случае применения альтернативных механизмов достижения целей муниципальной программы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3.6. В качестве альтернативных механизмов достижения целей муниципальной программы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не относящихся к муниципальным  программам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могут учитываться в том числе: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местного бюджета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б) предоставление муниципальных гарантий по обязательствам плательщиков, имеющих право на льготы;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>
      <w:pPr>
        <w:pStyle w:val="ConsPlusNormal"/>
        <w:ind w:left="0" w:right="0" w:firstLine="540"/>
        <w:jc w:val="center"/>
        <w:rPr>
          <w:rFonts w:ascii="Times New Roman" w:hAnsi="Times New Roman"/>
          <w:b/>
          <w:b/>
          <w:bCs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en-US"/>
        </w:rPr>
        <w:t>IV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. Порядок обобщения результатов оценки</w:t>
      </w:r>
    </w:p>
    <w:p>
      <w:pPr>
        <w:pStyle w:val="ConsPlusNormal"/>
        <w:ind w:left="0" w:right="0" w:firstLine="540"/>
        <w:jc w:val="center"/>
        <w:rPr>
          <w:b/>
          <w:b/>
          <w:bCs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налоговых расходов  </w:t>
      </w:r>
      <w:r>
        <w:rPr>
          <w:rFonts w:cs="Times New Roman" w:ascii="Times New Roman" w:hAnsi="Times New Roman"/>
          <w:b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b/>
          <w:bCs/>
          <w:spacing w:val="-1"/>
          <w:sz w:val="28"/>
          <w:szCs w:val="28"/>
          <w:shd w:fill="auto" w:val="clear"/>
        </w:rPr>
        <w:t xml:space="preserve"> сельского поселения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4.1. По результатам проведения оценки соответствующих налоговых расходов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кураторы налоговых расходов до 20 мая текущего финансового года направляют в Министерство финансов аналитическую записку о результатах проведенной оценки налоговых расходов за год, предшествующий отчетному году, с выводами: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о достижении целевых характеристик налогового расхода;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о вкладе налоговых расходов в достижение достижении целей муниципальной программы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не относящихся к муниципальным программам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-о востребованности плательщиками предоставленных налоговых льгот;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о наличии или об отсутствии более результативных ( менее затратных для местного бюджета) альтернативных механизмов достижения целей муниципальной программы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не относящихся к муниципальным программам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;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о необходимости сохранения, уточнения или отмены предоставленных плательщиками налоговых льгот.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4.2. На основе представленных кураторами налоговых расходов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Управление финансов обобщает результаты оценки налоговых расходов и ежегодно в срок до 1 июня направляет их в Министерство финансов в соответствии с Общими требованиями к оценке налоговых расходов.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Результаты оценки налоговых расходов направляются главе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размещаются на официальном сайте органов местного самоуправления 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в сети Интернет в срок до 25 августа.</w:t>
      </w:r>
    </w:p>
    <w:p>
      <w:pPr>
        <w:pStyle w:val="ConsPlusNormal"/>
        <w:ind w:left="0" w:right="0"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Результаты оценки налоговых расходов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учитываются при формировании основных направлений бюджетной и налоговой политики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а также при проведении оценки эффективности реализации муниципальных программ </w:t>
      </w:r>
      <w:r>
        <w:rPr>
          <w:rFonts w:cs="Times New Roman" w:ascii="Times New Roman" w:hAnsi="Times New Roman"/>
          <w:bCs/>
          <w:spacing w:val="-2"/>
          <w:sz w:val="28"/>
          <w:szCs w:val="28"/>
          <w:shd w:fill="auto" w:val="clear"/>
        </w:rPr>
        <w:t>Верхнесеребрянского</w:t>
      </w:r>
      <w:r>
        <w:rPr>
          <w:rFonts w:cs="Times New Roman" w:ascii="Times New Roman" w:hAnsi="Times New Roman"/>
          <w:spacing w:val="-1"/>
          <w:sz w:val="28"/>
          <w:szCs w:val="28"/>
          <w:shd w:fill="auto" w:val="clear"/>
        </w:rPr>
        <w:t xml:space="preserve"> сельского поселения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  <w:bookmarkStart w:id="4" w:name="P104"/>
    </w:p>
    <w:p>
      <w:pPr>
        <w:pStyle w:val="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Правила формирования информации о нормативных, целевых</w:t>
      </w:r>
    </w:p>
    <w:p>
      <w:pPr>
        <w:pStyle w:val="Normal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 фискальных характеристиках налоговых расходов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</w:t>
      </w:r>
      <w:hyperlink r:id="rId5">
        <w:r>
          <w:rPr>
            <w:rFonts w:ascii="Times New Roman" w:hAnsi="Times New Roman"/>
            <w:spacing w:val="-1"/>
            <w:sz w:val="28"/>
            <w:szCs w:val="28"/>
          </w:rPr>
          <w:t>перечнем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показателей для проведения оценки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согласно приложению к Порядку.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5.1. Администрация ежегодно до 1 февраля направляет в УФНС по Белгородской области сведения о категориях плательщиков, с указанием обусловливающих соответствующие налоговые расходы нормативных правовых актов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в том числе действовавших в отчетном году и в году, предшествующем отчетному году.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5.2. УФНС по Белгородской области направляет в Администрацию: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до 1 апреля -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сведения о количестве плательщиков, воспользовавшихся льготами;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-сведения о суммах выпадающих доходов </w:t>
      </w:r>
      <w:bookmarkStart w:id="5" w:name="__DdeLink__580_3283669908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bookmarkEnd w:id="5"/>
      <w:r>
        <w:rPr>
          <w:rFonts w:ascii="Times New Roman" w:hAnsi="Times New Roman"/>
          <w:spacing w:val="-1"/>
          <w:sz w:val="28"/>
          <w:szCs w:val="28"/>
        </w:rPr>
        <w:t xml:space="preserve"> по каждому налоговому расходу;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сведения об объемах налогов, задекларированных для уплаты плательщиками в  бюджет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по каждому налоговому расходу, в отношении стимулирующих налоговых расходов;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5.3. Администрация формирует информацию о нормативных и целевых характеристиках налоговых расходов по </w:t>
      </w:r>
      <w:hyperlink r:id="rId6">
        <w:r>
          <w:rPr>
            <w:rFonts w:ascii="Times New Roman" w:hAnsi="Times New Roman"/>
            <w:spacing w:val="-1"/>
            <w:sz w:val="28"/>
            <w:szCs w:val="28"/>
          </w:rPr>
          <w:t>пунктам 1.1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- </w:t>
      </w:r>
      <w:hyperlink r:id="rId7">
        <w:r>
          <w:rPr>
            <w:rFonts w:ascii="Times New Roman" w:hAnsi="Times New Roman"/>
            <w:spacing w:val="-1"/>
            <w:sz w:val="28"/>
            <w:szCs w:val="28"/>
          </w:rPr>
          <w:t>1.8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hyperlink r:id="rId8">
        <w:r>
          <w:rPr>
            <w:rFonts w:ascii="Times New Roman" w:hAnsi="Times New Roman"/>
            <w:spacing w:val="-1"/>
            <w:sz w:val="28"/>
            <w:szCs w:val="28"/>
          </w:rPr>
          <w:t>2.1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- </w:t>
      </w:r>
      <w:hyperlink r:id="rId9">
        <w:r>
          <w:rPr>
            <w:rFonts w:ascii="Times New Roman" w:hAnsi="Times New Roman"/>
            <w:spacing w:val="-1"/>
            <w:sz w:val="28"/>
            <w:szCs w:val="28"/>
          </w:rPr>
          <w:t>2.2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hyperlink r:id="rId10">
        <w:r>
          <w:rPr>
            <w:rFonts w:ascii="Times New Roman" w:hAnsi="Times New Roman"/>
            <w:spacing w:val="-1"/>
            <w:sz w:val="28"/>
            <w:szCs w:val="28"/>
          </w:rPr>
          <w:t>2.4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- </w:t>
      </w:r>
      <w:hyperlink r:id="rId11">
        <w:r>
          <w:rPr>
            <w:rFonts w:ascii="Times New Roman" w:hAnsi="Times New Roman"/>
            <w:spacing w:val="-1"/>
            <w:sz w:val="28"/>
            <w:szCs w:val="28"/>
          </w:rPr>
          <w:t>2.5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перечня показателей для оценки налоговых расходов.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Администрация направляет кураторам налоговых расходов в срок до 20 апреля текущего финансового года.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5.4. Для сбора и учета информации о целевых и фискальных характеристиках налоговых расходов кураторы налоговых расходов ежегодно в срок, указанный в </w:t>
      </w:r>
      <w:hyperlink r:id="rId12">
        <w:r>
          <w:rPr>
            <w:rFonts w:ascii="Times New Roman" w:hAnsi="Times New Roman"/>
            <w:spacing w:val="-1"/>
            <w:sz w:val="28"/>
            <w:szCs w:val="28"/>
          </w:rPr>
          <w:t>пункте 4.1 раздела IV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настоящего Порядка, представляют в Администрацию: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- информацию по </w:t>
      </w:r>
      <w:hyperlink r:id="rId13">
        <w:r>
          <w:rPr>
            <w:rFonts w:ascii="Times New Roman" w:hAnsi="Times New Roman"/>
            <w:spacing w:val="-1"/>
            <w:sz w:val="28"/>
            <w:szCs w:val="28"/>
          </w:rPr>
          <w:t>пунктам 2.3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hyperlink r:id="rId14">
        <w:r>
          <w:rPr>
            <w:rFonts w:ascii="Times New Roman" w:hAnsi="Times New Roman"/>
            <w:spacing w:val="-1"/>
            <w:sz w:val="28"/>
            <w:szCs w:val="28"/>
          </w:rPr>
          <w:t>2.6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- </w:t>
      </w:r>
      <w:hyperlink r:id="rId15">
        <w:r>
          <w:rPr>
            <w:rFonts w:ascii="Times New Roman" w:hAnsi="Times New Roman"/>
            <w:spacing w:val="-1"/>
            <w:sz w:val="28"/>
            <w:szCs w:val="28"/>
          </w:rPr>
          <w:t>2.9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hyperlink r:id="rId16">
        <w:r>
          <w:rPr>
            <w:rFonts w:ascii="Times New Roman" w:hAnsi="Times New Roman"/>
            <w:spacing w:val="-1"/>
            <w:sz w:val="28"/>
            <w:szCs w:val="28"/>
          </w:rPr>
          <w:t>3.2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hyperlink r:id="rId17">
        <w:r>
          <w:rPr>
            <w:rFonts w:ascii="Times New Roman" w:hAnsi="Times New Roman"/>
            <w:spacing w:val="-1"/>
            <w:sz w:val="28"/>
            <w:szCs w:val="28"/>
          </w:rPr>
          <w:t>3.6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перечня показателей для оценки налоговых расходов;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5.5. Информацию по </w:t>
      </w:r>
      <w:hyperlink r:id="rId18">
        <w:r>
          <w:rPr>
            <w:rFonts w:ascii="Times New Roman" w:hAnsi="Times New Roman"/>
            <w:spacing w:val="-1"/>
            <w:sz w:val="28"/>
            <w:szCs w:val="28"/>
          </w:rPr>
          <w:t>пунктам 3.1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hyperlink r:id="rId19">
        <w:r>
          <w:rPr>
            <w:rFonts w:ascii="Times New Roman" w:hAnsi="Times New Roman"/>
            <w:spacing w:val="-1"/>
            <w:sz w:val="28"/>
            <w:szCs w:val="28"/>
          </w:rPr>
          <w:t>3.3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- </w:t>
      </w:r>
      <w:hyperlink r:id="rId20">
        <w:r>
          <w:rPr>
            <w:rFonts w:ascii="Times New Roman" w:hAnsi="Times New Roman"/>
            <w:spacing w:val="-1"/>
            <w:sz w:val="28"/>
            <w:szCs w:val="28"/>
          </w:rPr>
          <w:t>3.5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перечня показателей для оценки налоговых расходов Администрация использует на основании данных УФНС по Белгородской области в порядке, определенном Общими требованиями к оценке налоговых расходов.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5.6. Администрация на основании информации УФНС по Белгородской области о фискальных характеристиках налоговых расходов и стимулирующих налоговых расходах ежегодно осуществляет оценку совокупного бюджетного эффекта (самоокупаемости) каждого стимулирующего налогового расхода по налогу на прибыль организаций и налогу на имущество организаций в соответствии с </w:t>
      </w:r>
      <w:hyperlink r:id="rId21">
        <w:r>
          <w:rPr>
            <w:rFonts w:ascii="Times New Roman" w:hAnsi="Times New Roman"/>
            <w:spacing w:val="-1"/>
            <w:sz w:val="28"/>
            <w:szCs w:val="28"/>
          </w:rPr>
          <w:t>пунктом 17</w:t>
        </w:r>
      </w:hyperlink>
      <w:r>
        <w:rPr>
          <w:rFonts w:ascii="Times New Roman" w:hAnsi="Times New Roman"/>
          <w:spacing w:val="-1"/>
          <w:sz w:val="28"/>
          <w:szCs w:val="28"/>
        </w:rPr>
        <w:t xml:space="preserve"> Общих требований к оценке налоговых расходов.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5.7. Администрация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и вносится в Земское собрание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проект решения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предусматривающий внесение соответствующих изменений в действующее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решение.</w:t>
      </w:r>
    </w:p>
    <w:p>
      <w:pPr>
        <w:pStyle w:val="Normal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 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Порядок проведения оценки планируемых к предоставлению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налоговых расходов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6.1. 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 - орган местного самоуправления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за достижение соответствующих налоговым расходам целей муниципальных программ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6.2. Оценка планируемых к предоставлению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осуществляется в следующем порядке: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потенциальный куратор налогового расхода обосновывает целесообразность введения и востребованность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которые должны: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соответствовать целям муниципальных программ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подлежать оценке по истечении отчетного периода;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проводится на основе показателя ожидаемого бюджетного эффекта по следующей формуле: </w:t>
      </w:r>
    </w:p>
    <w:p>
      <w:pPr>
        <w:pStyle w:val="Normal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  </w:t>
      </w:r>
    </w:p>
    <w:p>
      <w:pPr>
        <w:pStyle w:val="Normal"/>
        <w:jc w:val="center"/>
        <w:rPr>
          <w:rFonts w:ascii="Times New Roman" w:hAnsi="Times New Roman"/>
          <w:spacing w:val="-1"/>
          <w:sz w:val="28"/>
          <w:szCs w:val="28"/>
        </w:rPr>
      </w:pPr>
      <w:r>
        <w:rPr/>
        <w:drawing>
          <wp:inline distT="0" distB="0" distL="0" distR="0">
            <wp:extent cx="3382010" cy="429260"/>
            <wp:effectExtent l="0" t="0" r="0" b="0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255" cy="643255"/>
                <wp:effectExtent l="0" t="0" r="0" b="0"/>
                <wp:wrapNone/>
                <wp:docPr id="2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64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path="m0,0l-2147483645,0l-2147483645,-2147483646l0,-2147483646xe" stroked="f" o:allowincell="f" style="position:absolute;margin-left:0.05pt;margin-top:0.05pt;width:50.55pt;height:50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 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где: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БЭпл - бюджетная эффективность планируемого к введению налогового расхода;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СНt - прогнозируемая сумма налоговых поступлений в бюджет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от потенциальных получателей льготы на очередной финансовый год, с которого планируется введение налогового расхода;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СНt-1 - ожидаемая сумма налоговых поступлений в бюджет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от потенциальных получателей льготы в текущем финансовом году;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СНt+1 - прогнозируемая сумма налоговых поступлений в бюджет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от потенциальных получателей льготы на финансовый год, следующий за годом, с которого планируется введение налогового расхода;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СНt+2 - прогнозируемая сумма налоговых поступлений в бюджет 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от потенциальных получателей льготы на второй финансовый год, следующий за годом, с которого планируется введение налогового расхода;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СЛt - сумма налоговых льгот, планируемых к предоставлению в году, с которого планируется введение налогового расхода;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СЛt+1 - сумма налоговых льгот, планируемых к предоставлению в году, следующем за годом, с которого предусматривается введение налогового расхода;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СЛt+2 - сумма налоговых льгот, планируемых к предоставлению во втором году, следующем за годом, с которого предусматривается введение налогового расхода.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Верхнесеребрянского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осуществляется на основании динамики показателей их финансово-экономической деятельности: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рост выручки от продажи товаров, продукции, работ и услуг (N1);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рост чистой прибыли (N2);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рост среднемесячной заработной платы (N3);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рост количества рабочих мест (N4);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рост объема инвестиций в основной капитал (N5).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Налоговые расходы имеют положительный экономический эффект, если значение суммарного экономического эффекта налоговых льгот принимает значение, равное трем или более баллам.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сопоставления,  планируемого к предоставлению налогового расхода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для местного бюджета и возможного бюджетного эффекта в результате применения определенных альтернативных механизмов.</w:t>
      </w:r>
    </w:p>
    <w:p>
      <w:pPr>
        <w:pStyle w:val="Normal"/>
        <w:ind w:firstLine="54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поселения. 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решения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предусматривающий внесение изменений в действующее решение в части льготного налогообложения, и вносится на рассмотрение в  Земское собрание </w:t>
      </w: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поселения.</w:t>
      </w:r>
    </w:p>
    <w:p>
      <w:pPr>
        <w:pStyle w:val="Normal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 xml:space="preserve">  </w:t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</w:p>
    <w:p>
      <w:pPr>
        <w:pStyle w:val="Normal"/>
        <w:shd w:val="clear" w:color="auto" w:fill="FFFFFF"/>
        <w:ind w:left="5663"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>Приложение</w:t>
      </w:r>
    </w:p>
    <w:p>
      <w:pPr>
        <w:pStyle w:val="Normal"/>
        <w:shd w:val="clear" w:color="auto" w:fill="FFFFFF"/>
        <w:ind w:left="566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</w:rPr>
        <w:t>к Порядку формирования</w:t>
      </w:r>
    </w:p>
    <w:p>
      <w:pPr>
        <w:pStyle w:val="Normal"/>
        <w:shd w:val="clear" w:color="auto" w:fill="FFFFFF"/>
        <w:ind w:left="566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>перечня налоговых расходов</w:t>
      </w:r>
    </w:p>
    <w:p>
      <w:pPr>
        <w:pStyle w:val="Normal"/>
        <w:shd w:val="clear" w:color="auto" w:fill="FFFFFF"/>
        <w:ind w:left="637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bCs/>
          <w:spacing w:val="-11"/>
          <w:sz w:val="28"/>
          <w:szCs w:val="28"/>
        </w:rPr>
        <w:t xml:space="preserve"> сельского поселения</w:t>
      </w:r>
    </w:p>
    <w:p>
      <w:pPr>
        <w:pStyle w:val="Normal"/>
        <w:shd w:val="clear" w:color="auto" w:fill="FFFFFF"/>
        <w:ind w:left="6371"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и оценки налоговых расходов</w:t>
      </w:r>
    </w:p>
    <w:p>
      <w:pPr>
        <w:pStyle w:val="Normal"/>
        <w:shd w:val="clear" w:color="auto" w:fill="FFFFFF"/>
        <w:ind w:left="5662" w:firstLine="709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bCs/>
          <w:spacing w:val="-11"/>
          <w:sz w:val="28"/>
          <w:szCs w:val="28"/>
        </w:rPr>
        <w:t xml:space="preserve"> сельского поселения</w:t>
      </w:r>
    </w:p>
    <w:p>
      <w:pPr>
        <w:pStyle w:val="Normal"/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показателей для проведения оценки налоговых расходов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Верхнесеребрянского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сельского поселения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849"/>
        <w:gridCol w:w="6946"/>
        <w:gridCol w:w="2270"/>
      </w:tblGrid>
      <w:tr>
        <w:trPr>
          <w:trHeight w:val="878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данных</w:t>
            </w:r>
          </w:p>
        </w:tc>
      </w:tr>
      <w:tr>
        <w:trPr>
          <w:trHeight w:val="859" w:hRule="exact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Нормативные характеристики налоговых расходов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Верхнесеребрянского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  <w:tr>
        <w:trPr>
          <w:trHeight w:val="1668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          налогов,            по           которым предусматриваются налоговые льготы, установленные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нормативными     правовыми     актами   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Верхнесеребрянского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НПА поселения)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bookmarkStart w:id="6" w:name="__DdeLink__889_2977925394"/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  <w:bookmarkEnd w:id="6"/>
          </w:p>
        </w:tc>
      </w:tr>
      <w:tr>
        <w:trPr>
          <w:trHeight w:val="1190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НПА поселения, их структурные единицы, которыми предусматриваются налоговые льготы, освобождения и иные преференции (далее - налоговые льготы)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854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предоставления налоговых льгот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869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    плательщиков    налогов,    для    которых предусмотрены налоговые льготы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1138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1.5.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Дата вступления в силу положений НПА поселения, устанавливающих налоговые льготы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984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1.6.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действия  права на налоговые  льготы, предоставленного НПА поселения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859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1.7.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888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1.8.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Дата     прекращения     действия     налоговых     льгот, </w:t>
            </w:r>
            <w:r>
              <w:rPr>
                <w:rFonts w:ascii="Times New Roman" w:hAnsi="Times New Roman"/>
                <w:sz w:val="28"/>
                <w:szCs w:val="28"/>
              </w:rPr>
              <w:t>установленная НПА поселения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</w:tbl>
    <w:p>
      <w:pPr>
        <w:sectPr>
          <w:type w:val="nextPage"/>
          <w:pgSz w:w="11906" w:h="16838"/>
          <w:pgMar w:left="1134" w:right="686" w:gutter="0" w:header="0" w:top="999" w:footer="0" w:bottom="36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849"/>
        <w:gridCol w:w="6946"/>
        <w:gridCol w:w="2270"/>
      </w:tblGrid>
      <w:tr>
        <w:trPr>
          <w:trHeight w:val="888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b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2"/>
                <w:sz w:val="28"/>
                <w:szCs w:val="28"/>
              </w:rPr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Источник                                            данных</w:t>
            </w:r>
          </w:p>
        </w:tc>
      </w:tr>
      <w:tr>
        <w:trPr>
          <w:trHeight w:val="682" w:hRule="exact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II. Целевые характеристики налоговых расходов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Верхнесеребрянского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сельского поселения</w:t>
            </w:r>
          </w:p>
        </w:tc>
      </w:tr>
      <w:tr>
        <w:trPr>
          <w:trHeight w:val="869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791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Верхнесеребрянского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988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Цели предоставления налоговых льгот, установленных НПА поселения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Кураторы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налоговых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расходов</w:t>
            </w:r>
          </w:p>
        </w:tc>
      </w:tr>
      <w:tr>
        <w:trPr>
          <w:trHeight w:val="1507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Вид   налоговых   льгот,   определяющий   особенности предоставленных отдельным категориям плательщиков налогов    преимуществ    по    сравнению    с   другими плательщиками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869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2.5.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Размер    налоговой    ставки,    в    пределах    которой предоставляются налоговые льготы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Администрации</w:t>
            </w:r>
          </w:p>
        </w:tc>
      </w:tr>
      <w:tr>
        <w:trPr>
          <w:trHeight w:val="1507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2.6.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Наименование          государственной          программы Белгородской области (непрограммного направления деятельности),  в рамках которой реализуются цели предоставления налогового расхода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Кураторы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налоговых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расходов</w:t>
            </w:r>
          </w:p>
        </w:tc>
      </w:tr>
      <w:tr>
        <w:trPr>
          <w:trHeight w:val="1507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2.7.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Наименования              структурных              элементов государственной   программы   Белгородской   области, в рамках которых реализуются цели предоставления налогового расхода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Кураторы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налоговых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расходов</w:t>
            </w:r>
          </w:p>
        </w:tc>
      </w:tr>
      <w:tr>
        <w:trPr>
          <w:trHeight w:val="1517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2.8.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Показатели       (индикаторы)       достижения       целей предоставления   налогового   расхода,   в   том   числе показатели государственной программы Белгородской области и ее структурных элементов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Кураторы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налоговых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расходов</w:t>
            </w:r>
          </w:p>
        </w:tc>
      </w:tr>
      <w:tr>
        <w:trPr>
          <w:trHeight w:val="1737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2.9.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Значения    показателей    (индикаторов)    достижения целей предоставления налогового расхода, в том числе показателей государственной программы Белгородской области  и   ее   структурных  элементов   на  текущий финансовый     год,     очередной     финансовый     год и на плановый период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Кураторы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налоговых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расходов</w:t>
            </w:r>
          </w:p>
        </w:tc>
      </w:tr>
    </w:tbl>
    <w:p>
      <w:pPr>
        <w:sectPr>
          <w:type w:val="nextPage"/>
          <w:pgSz w:w="11906" w:h="16838"/>
          <w:pgMar w:left="1134" w:right="783" w:gutter="0" w:header="0" w:top="1272" w:footer="0" w:bottom="36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849"/>
        <w:gridCol w:w="6946"/>
        <w:gridCol w:w="2270"/>
      </w:tblGrid>
      <w:tr>
        <w:trPr>
          <w:trHeight w:val="883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данных</w:t>
            </w:r>
          </w:p>
        </w:tc>
      </w:tr>
      <w:tr>
        <w:trPr>
          <w:trHeight w:val="917" w:hRule="exact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Фискальные характеристики налогового расхода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Верхнесеребрянского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сельского поселения</w:t>
            </w:r>
          </w:p>
        </w:tc>
      </w:tr>
      <w:tr>
        <w:trPr>
          <w:trHeight w:val="1432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     налоговых        льгот,        предоставленных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для   плательщиков   налогов   в соответствии   с   НПА </w:t>
            </w:r>
            <w:r>
              <w:rPr>
                <w:rFonts w:ascii="Times New Roman" w:hAnsi="Times New Roman"/>
                <w:sz w:val="28"/>
                <w:szCs w:val="28"/>
              </w:rPr>
              <w:t>области, за отчетный год и за год, предшествующий отчетному году (тыс. рублей)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ФНС по Белгородской области</w:t>
            </w:r>
          </w:p>
          <w:p>
            <w:pPr>
              <w:pStyle w:val="Normal"/>
              <w:widowControl w:val="false"/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541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3.2.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 объема  предоставленных  налоговых  льгот, освобождений и иных преференций для плательщиков налогов   на   текущий   финансовый   год,   очередной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финансовый год и плановый период (тыс. рублей)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</w:tr>
      <w:tr>
        <w:trPr>
          <w:trHeight w:val="1117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3.3.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               плательщиков               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ФНС по Белгородской области</w:t>
            </w:r>
          </w:p>
          <w:p>
            <w:pPr>
              <w:pStyle w:val="Normal"/>
              <w:widowControl w:val="false"/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718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3.4.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Базовый объем налогов, задекларированный для уплаты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налогов,        имеющими        право </w:t>
            </w:r>
            <w:r>
              <w:rPr>
                <w:rFonts w:ascii="Times New Roman" w:hAnsi="Times New Roman"/>
                <w:sz w:val="28"/>
                <w:szCs w:val="28"/>
              </w:rPr>
              <w:t>на    налоговые    льготы,     освобождения     и     иные преференции, установленные НПА (тыс. рублей)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ФНС по Белгородской области</w:t>
            </w:r>
          </w:p>
          <w:p>
            <w:pPr>
              <w:pStyle w:val="Normal"/>
              <w:widowControl w:val="false"/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701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3.5.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 налогов,    задекларированный    для    уплаты          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налогоплательщиками, имеющими право на налоговые </w:t>
            </w:r>
            <w:r>
              <w:rPr>
                <w:rFonts w:ascii="Times New Roman" w:hAnsi="Times New Roman"/>
                <w:sz w:val="28"/>
                <w:szCs w:val="28"/>
              </w:rPr>
              <w:t>льготы,    за    6    лет,    предшествующих    отчетному финансовому году (тыс. рублей)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ФНС по Белгородской области</w:t>
            </w:r>
          </w:p>
          <w:p>
            <w:pPr>
              <w:pStyle w:val="Normal"/>
              <w:widowControl w:val="false"/>
              <w:shd w:val="clear" w:color="auto" w:fill="FFFFFF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96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3.6.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Верхнесеребрянского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>
        <w:trPr>
          <w:trHeight w:val="2566" w:hRule="exac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3.7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администрации 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Верхнесеребрянского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3828" w:leader="none"/>
        </w:tabs>
        <w:ind w:hanging="0"/>
        <w:jc w:val="center"/>
        <w:rPr/>
      </w:pPr>
      <w:r>
        <w:rPr/>
      </w:r>
      <w:bookmarkStart w:id="7" w:name="P1041"/>
      <w:bookmarkStart w:id="8" w:name="P1041"/>
      <w:bookmarkEnd w:id="4"/>
      <w:bookmarkEnd w:id="8"/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eb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 w:customStyle="1">
    <w:name w:val="Heading 1"/>
    <w:next w:val="Normal"/>
    <w:link w:val="Heading1Char"/>
    <w:uiPriority w:val="9"/>
    <w:qFormat/>
    <w:rsid w:val="00e32eb7"/>
    <w:pPr>
      <w:keepNext w:val="true"/>
      <w:keepLines/>
      <w:widowControl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zh-CN" w:bidi="ar-SA"/>
    </w:rPr>
  </w:style>
  <w:style w:type="paragraph" w:styleId="2" w:customStyle="1">
    <w:name w:val="Heading 2"/>
    <w:link w:val="Heading2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0"/>
      <w:lang w:val="ru-RU" w:eastAsia="zh-CN" w:bidi="ar-SA"/>
    </w:rPr>
  </w:style>
  <w:style w:type="paragraph" w:styleId="3" w:customStyle="1">
    <w:name w:val="Heading 3"/>
    <w:link w:val="Heading3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zh-CN" w:bidi="ar-SA"/>
    </w:rPr>
  </w:style>
  <w:style w:type="paragraph" w:styleId="4" w:customStyle="1">
    <w:name w:val="Heading 4"/>
    <w:link w:val="Heading4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zh-CN" w:bidi="ar-SA"/>
    </w:rPr>
  </w:style>
  <w:style w:type="paragraph" w:styleId="5" w:customStyle="1">
    <w:name w:val="Heading 5"/>
    <w:link w:val="Heading5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zh-CN" w:bidi="ar-SA"/>
    </w:rPr>
  </w:style>
  <w:style w:type="paragraph" w:styleId="6" w:customStyle="1">
    <w:name w:val="Heading 6"/>
    <w:link w:val="Heading6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7" w:customStyle="1">
    <w:name w:val="Heading 7"/>
    <w:link w:val="Heading7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zh-CN" w:bidi="ar-SA"/>
    </w:rPr>
  </w:style>
  <w:style w:type="paragraph" w:styleId="8" w:customStyle="1">
    <w:name w:val="Heading 8"/>
    <w:link w:val="Heading8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zh-CN" w:bidi="ar-SA"/>
    </w:rPr>
  </w:style>
  <w:style w:type="paragraph" w:styleId="9" w:customStyle="1">
    <w:name w:val="Heading 9"/>
    <w:link w:val="Heading9Char"/>
    <w:uiPriority w:val="9"/>
    <w:unhideWhenUsed/>
    <w:qFormat/>
    <w:rsid w:val="00e32eb7"/>
    <w:pPr>
      <w:keepNext w:val="true"/>
      <w:keepLines/>
      <w:widowControl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"/>
    <w:qFormat/>
    <w:rsid w:val="00e32eb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Heading2"/>
    <w:uiPriority w:val="9"/>
    <w:qFormat/>
    <w:rsid w:val="00e32eb7"/>
    <w:rPr>
      <w:rFonts w:ascii="Arial" w:hAnsi="Arial" w:eastAsia="Arial" w:cs="Arial"/>
      <w:sz w:val="34"/>
    </w:rPr>
  </w:style>
  <w:style w:type="character" w:styleId="Heading3Char" w:customStyle="1">
    <w:name w:val="Heading 3 Char"/>
    <w:link w:val="Heading3"/>
    <w:uiPriority w:val="9"/>
    <w:qFormat/>
    <w:rsid w:val="00e32eb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Heading4"/>
    <w:uiPriority w:val="9"/>
    <w:qFormat/>
    <w:rsid w:val="00e32eb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Heading5"/>
    <w:uiPriority w:val="9"/>
    <w:qFormat/>
    <w:rsid w:val="00e32eb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Heading6"/>
    <w:uiPriority w:val="9"/>
    <w:qFormat/>
    <w:rsid w:val="00e32eb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qFormat/>
    <w:rsid w:val="00e32eb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Heading8"/>
    <w:uiPriority w:val="9"/>
    <w:qFormat/>
    <w:rsid w:val="00e32eb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Heading9"/>
    <w:uiPriority w:val="9"/>
    <w:qFormat/>
    <w:rsid w:val="00e32eb7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link w:val="a5"/>
    <w:uiPriority w:val="10"/>
    <w:qFormat/>
    <w:rsid w:val="00e32eb7"/>
    <w:rPr>
      <w:sz w:val="48"/>
      <w:szCs w:val="48"/>
    </w:rPr>
  </w:style>
  <w:style w:type="character" w:styleId="Style6" w:customStyle="1">
    <w:name w:val="Подзаголовок Знак"/>
    <w:link w:val="a7"/>
    <w:uiPriority w:val="11"/>
    <w:qFormat/>
    <w:rsid w:val="00e32eb7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e32eb7"/>
    <w:rPr>
      <w:i/>
    </w:rPr>
  </w:style>
  <w:style w:type="character" w:styleId="Style7" w:customStyle="1">
    <w:name w:val="Выделенная цитата Знак"/>
    <w:link w:val="a9"/>
    <w:uiPriority w:val="30"/>
    <w:qFormat/>
    <w:rsid w:val="00e32eb7"/>
    <w:rPr>
      <w:i/>
    </w:rPr>
  </w:style>
  <w:style w:type="character" w:styleId="HeaderChar" w:customStyle="1">
    <w:name w:val="Header Char"/>
    <w:link w:val="Header"/>
    <w:uiPriority w:val="99"/>
    <w:qFormat/>
    <w:rsid w:val="00e32eb7"/>
    <w:rPr/>
  </w:style>
  <w:style w:type="character" w:styleId="FooterChar" w:customStyle="1">
    <w:name w:val="Footer Char"/>
    <w:link w:val="Footer"/>
    <w:uiPriority w:val="99"/>
    <w:qFormat/>
    <w:rsid w:val="00e32eb7"/>
    <w:rPr/>
  </w:style>
  <w:style w:type="character" w:styleId="CaptionChar" w:customStyle="1">
    <w:name w:val="Caption Char"/>
    <w:link w:val="Footer"/>
    <w:uiPriority w:val="99"/>
    <w:qFormat/>
    <w:rsid w:val="00e32eb7"/>
    <w:rPr/>
  </w:style>
  <w:style w:type="character" w:styleId="Style8">
    <w:name w:val="Интернет-ссылка"/>
    <w:rsid w:val="00e32eb7"/>
    <w:rPr>
      <w:color w:val="0000FF"/>
      <w:u w:val="single"/>
    </w:rPr>
  </w:style>
  <w:style w:type="character" w:styleId="Style9" w:customStyle="1">
    <w:name w:val="Текст сноски Знак"/>
    <w:link w:val="ad"/>
    <w:uiPriority w:val="99"/>
    <w:qFormat/>
    <w:rsid w:val="00e32eb7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e32eb7"/>
    <w:rPr>
      <w:vertAlign w:val="superscript"/>
    </w:rPr>
  </w:style>
  <w:style w:type="character" w:styleId="Style11" w:customStyle="1">
    <w:name w:val="Текст концевой сноски Знак"/>
    <w:link w:val="af0"/>
    <w:uiPriority w:val="99"/>
    <w:qFormat/>
    <w:rsid w:val="00e32eb7"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e32eb7"/>
    <w:rPr>
      <w:vertAlign w:val="superscript"/>
    </w:rPr>
  </w:style>
  <w:style w:type="character" w:styleId="11" w:customStyle="1">
    <w:name w:val="Заголовок 1 Знак"/>
    <w:link w:val="1"/>
    <w:qFormat/>
    <w:rsid w:val="00e32eb7"/>
    <w:rPr>
      <w:rFonts w:ascii="Times New Roman" w:hAnsi="Times New Roman"/>
      <w:u w:val="single"/>
    </w:rPr>
  </w:style>
  <w:style w:type="character" w:styleId="Style13" w:customStyle="1">
    <w:name w:val="Основной текст Знак"/>
    <w:link w:val="af5"/>
    <w:qFormat/>
    <w:rsid w:val="00e32eb7"/>
    <w:rPr>
      <w:rFonts w:ascii="Times New Roman" w:hAnsi="Times New Roman"/>
      <w:sz w:val="28"/>
    </w:rPr>
  </w:style>
  <w:style w:type="character" w:styleId="Style14" w:customStyle="1">
    <w:name w:val="Верхний колонтитул Знак"/>
    <w:link w:val="af8"/>
    <w:qFormat/>
    <w:rsid w:val="00e32eb7"/>
    <w:rPr>
      <w:sz w:val="22"/>
      <w:szCs w:val="22"/>
    </w:rPr>
  </w:style>
  <w:style w:type="character" w:styleId="Style15" w:customStyle="1">
    <w:name w:val="Нижний колонтитул Знак"/>
    <w:link w:val="afa"/>
    <w:qFormat/>
    <w:rsid w:val="00e32eb7"/>
    <w:rPr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link w:val="af6"/>
    <w:rsid w:val="00e32eb7"/>
    <w:pPr>
      <w:widowControl/>
      <w:shd w:val="nil"/>
      <w:suppressAutoHyphens w:val="true"/>
      <w:bidi w:val="0"/>
      <w:spacing w:lineRule="auto" w:line="276" w:before="0" w:after="14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8">
    <w:name w:val="List"/>
    <w:basedOn w:val="Style17"/>
    <w:pPr/>
    <w:rPr>
      <w:rFonts w:cs="Mangal"/>
    </w:rPr>
  </w:style>
  <w:style w:type="paragraph" w:styleId="Style19" w:customStyle="1">
    <w:name w:val="Caption"/>
    <w:uiPriority w:val="35"/>
    <w:semiHidden/>
    <w:unhideWhenUsed/>
    <w:qFormat/>
    <w:rsid w:val="00e32eb7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b/>
      <w:bCs/>
      <w:color w:val="4F81BD" w:themeColor="accent1"/>
      <w:kern w:val="0"/>
      <w:sz w:val="18"/>
      <w:szCs w:val="18"/>
      <w:lang w:val="ru-RU" w:eastAsia="zh-CN" w:bidi="ar-SA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uiPriority w:val="34"/>
    <w:qFormat/>
    <w:rsid w:val="00e32eb7"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e32eb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Title"/>
    <w:link w:val="a6"/>
    <w:uiPriority w:val="10"/>
    <w:qFormat/>
    <w:rsid w:val="00e32eb7"/>
    <w:pPr>
      <w:widowControl/>
      <w:suppressAutoHyphens w:val="true"/>
      <w:bidi w:val="0"/>
      <w:spacing w:before="300" w:after="200"/>
      <w:contextualSpacing/>
      <w:jc w:val="left"/>
    </w:pPr>
    <w:rPr>
      <w:rFonts w:ascii="Calibri" w:hAnsi="Calibri" w:eastAsia="Times New Roman" w:cs="Times New Roman"/>
      <w:color w:val="auto"/>
      <w:kern w:val="0"/>
      <w:sz w:val="48"/>
      <w:szCs w:val="48"/>
      <w:lang w:val="ru-RU" w:eastAsia="zh-CN" w:bidi="ar-SA"/>
    </w:rPr>
  </w:style>
  <w:style w:type="paragraph" w:styleId="Style22">
    <w:name w:val="Subtitle"/>
    <w:link w:val="a8"/>
    <w:uiPriority w:val="11"/>
    <w:qFormat/>
    <w:rsid w:val="00e32eb7"/>
    <w:pPr>
      <w:widowControl/>
      <w:suppressAutoHyphens w:val="true"/>
      <w:bidi w:val="0"/>
      <w:spacing w:before="200" w:after="20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Quote">
    <w:name w:val="Quote"/>
    <w:link w:val="20"/>
    <w:uiPriority w:val="29"/>
    <w:qFormat/>
    <w:rsid w:val="00e32eb7"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Calibri" w:hAnsi="Calibri" w:eastAsia="Times New Roman" w:cs="Times New Roman"/>
      <w:i/>
      <w:color w:val="auto"/>
      <w:kern w:val="0"/>
      <w:sz w:val="20"/>
      <w:szCs w:val="20"/>
      <w:lang w:val="ru-RU" w:eastAsia="zh-CN" w:bidi="ar-SA"/>
    </w:rPr>
  </w:style>
  <w:style w:type="paragraph" w:styleId="IntenseQuote">
    <w:name w:val="Intense Quote"/>
    <w:link w:val="aa"/>
    <w:uiPriority w:val="30"/>
    <w:qFormat/>
    <w:rsid w:val="00e32eb7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Calibri" w:hAnsi="Calibri" w:eastAsia="Times New Roman" w:cs="Times New Roman"/>
      <w:i/>
      <w:color w:val="auto"/>
      <w:kern w:val="0"/>
      <w:sz w:val="20"/>
      <w:szCs w:val="20"/>
      <w:lang w:val="ru-RU" w:eastAsia="zh-CN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f9"/>
    <w:rsid w:val="00e32eb7"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5">
    <w:name w:val="Footer"/>
    <w:basedOn w:val="Normal"/>
    <w:link w:val="afb"/>
    <w:rsid w:val="00e32eb7"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6">
    <w:name w:val="Footnote Text"/>
    <w:link w:val="ae"/>
    <w:uiPriority w:val="99"/>
    <w:semiHidden/>
    <w:unhideWhenUsed/>
    <w:rsid w:val="00e32eb7"/>
    <w:pPr>
      <w:widowControl/>
      <w:suppressAutoHyphens w:val="true"/>
      <w:bidi w:val="0"/>
      <w:spacing w:before="0" w:after="40"/>
      <w:jc w:val="left"/>
    </w:pPr>
    <w:rPr>
      <w:rFonts w:ascii="Calibri" w:hAnsi="Calibri" w:eastAsia="Times New Roman" w:cs="Times New Roman"/>
      <w:color w:val="auto"/>
      <w:kern w:val="0"/>
      <w:sz w:val="18"/>
      <w:szCs w:val="20"/>
      <w:lang w:val="ru-RU" w:eastAsia="zh-CN" w:bidi="ar-SA"/>
    </w:rPr>
  </w:style>
  <w:style w:type="paragraph" w:styleId="Style27">
    <w:name w:val="Endnote Text"/>
    <w:link w:val="af1"/>
    <w:uiPriority w:val="99"/>
    <w:semiHidden/>
    <w:unhideWhenUsed/>
    <w:rsid w:val="00e32eb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2">
    <w:name w:val="TOC 1"/>
    <w:uiPriority w:val="39"/>
    <w:unhideWhenUsed/>
    <w:rsid w:val="00e32eb7"/>
    <w:pPr>
      <w:widowControl/>
      <w:suppressAutoHyphens w:val="true"/>
      <w:bidi w:val="0"/>
      <w:spacing w:before="0" w:after="57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2">
    <w:name w:val="TOC 2"/>
    <w:uiPriority w:val="39"/>
    <w:unhideWhenUsed/>
    <w:rsid w:val="00e32eb7"/>
    <w:pPr>
      <w:widowControl/>
      <w:suppressAutoHyphens w:val="true"/>
      <w:bidi w:val="0"/>
      <w:spacing w:before="0" w:after="57"/>
      <w:ind w:left="283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31">
    <w:name w:val="TOC 3"/>
    <w:uiPriority w:val="39"/>
    <w:unhideWhenUsed/>
    <w:rsid w:val="00e32eb7"/>
    <w:pPr>
      <w:widowControl/>
      <w:suppressAutoHyphens w:val="true"/>
      <w:bidi w:val="0"/>
      <w:spacing w:before="0" w:after="57"/>
      <w:ind w:left="567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41">
    <w:name w:val="TOC 4"/>
    <w:uiPriority w:val="39"/>
    <w:unhideWhenUsed/>
    <w:rsid w:val="00e32eb7"/>
    <w:pPr>
      <w:widowControl/>
      <w:suppressAutoHyphens w:val="true"/>
      <w:bidi w:val="0"/>
      <w:spacing w:before="0" w:after="57"/>
      <w:ind w:left="850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51">
    <w:name w:val="TOC 5"/>
    <w:uiPriority w:val="39"/>
    <w:unhideWhenUsed/>
    <w:rsid w:val="00e32eb7"/>
    <w:pPr>
      <w:widowControl/>
      <w:suppressAutoHyphens w:val="true"/>
      <w:bidi w:val="0"/>
      <w:spacing w:before="0" w:after="57"/>
      <w:ind w:left="1134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61">
    <w:name w:val="TOC 6"/>
    <w:uiPriority w:val="39"/>
    <w:unhideWhenUsed/>
    <w:rsid w:val="00e32eb7"/>
    <w:pPr>
      <w:widowControl/>
      <w:suppressAutoHyphens w:val="true"/>
      <w:bidi w:val="0"/>
      <w:spacing w:before="0" w:after="57"/>
      <w:ind w:left="1417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71">
    <w:name w:val="TOC 7"/>
    <w:uiPriority w:val="39"/>
    <w:unhideWhenUsed/>
    <w:rsid w:val="00e32eb7"/>
    <w:pPr>
      <w:widowControl/>
      <w:suppressAutoHyphens w:val="true"/>
      <w:bidi w:val="0"/>
      <w:spacing w:before="0" w:after="57"/>
      <w:ind w:left="1701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81">
    <w:name w:val="TOC 8"/>
    <w:uiPriority w:val="39"/>
    <w:unhideWhenUsed/>
    <w:rsid w:val="00e32eb7"/>
    <w:pPr>
      <w:widowControl/>
      <w:suppressAutoHyphens w:val="true"/>
      <w:bidi w:val="0"/>
      <w:spacing w:before="0" w:after="57"/>
      <w:ind w:left="1984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91">
    <w:name w:val="TOC 9"/>
    <w:uiPriority w:val="39"/>
    <w:unhideWhenUsed/>
    <w:rsid w:val="00e32eb7"/>
    <w:pPr>
      <w:widowControl/>
      <w:suppressAutoHyphens w:val="true"/>
      <w:bidi w:val="0"/>
      <w:spacing w:before="0" w:after="57"/>
      <w:ind w:left="2268" w:hanging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rsid w:val="00e32eb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uiPriority w:val="99"/>
    <w:unhideWhenUsed/>
    <w:qFormat/>
    <w:rsid w:val="00e32eb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BalloonText">
    <w:name w:val="Balloon Text"/>
    <w:basedOn w:val="Normal"/>
    <w:semiHidden/>
    <w:qFormat/>
    <w:rsid w:val="00e32eb7"/>
    <w:pPr/>
    <w:rPr>
      <w:rFonts w:ascii="Tahoma" w:hAnsi="Tahoma"/>
      <w:sz w:val="16"/>
      <w:szCs w:val="16"/>
    </w:rPr>
  </w:style>
  <w:style w:type="paragraph" w:styleId="S1" w:customStyle="1">
    <w:name w:val="s_1"/>
    <w:basedOn w:val="Normal"/>
    <w:qFormat/>
    <w:rsid w:val="00e32eb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Calibri"/>
      <w:color w:val="auto"/>
      <w:kern w:val="2"/>
      <w:sz w:val="22"/>
      <w:szCs w:val="24"/>
      <w:lang w:val="ru-RU" w:eastAsia="ru-RU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uiPriority w:val="59"/>
    <w:rsid w:val="00e32eb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32eb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32eb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uiPriority w:val="59"/>
    <w:rsid w:val="00e32eb7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uiPriority w:val="99"/>
    <w:rsid w:val="00e32eb7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e32eb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e32eb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e32eb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e32eb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e32eb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e32eb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rsid w:val="00e32eb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e32eb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e32eb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e32eb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e32eb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e32eb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e32eb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uiPriority w:val="99"/>
    <w:rsid w:val="00e32eb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e32eb7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e32eb7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e32eb7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e32eb7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e32eb7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e32eb7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uiPriority w:val="59"/>
    <w:rsid w:val="00e32eb7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e32eb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e32eb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e32eb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e32eb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e32eb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e32eb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uiPriority w:val="99"/>
    <w:rsid w:val="00e32eb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e32eb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e32eb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e32eb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e32eb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e32eb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e32eb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uiPriority w:val="99"/>
    <w:rsid w:val="00e32eb7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e32eb7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e32eb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e32eb7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e32eb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e32eb7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e32eb7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e32eb7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e32eb7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e32eb7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e32eb7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e32eb7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e32eb7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e32eb7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e32e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uiPriority w:val="99"/>
    <w:rsid w:val="00e32eb7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e32eb7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e32eb7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e32eb7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e32eb7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e32eb7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e32eb7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uiPriority w:val="99"/>
    <w:rsid w:val="00e32eb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e32eb7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e32eb7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e32eb7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e32eb7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e32eb7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e32eb7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rsid w:val="00e32eb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e32eb7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e32eb7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e32eb7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e32eb7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e32eb7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e32eb7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uiPriority w:val="99"/>
    <w:rsid w:val="00e32eb7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e32eb7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e32eb7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e32eb7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e32eb7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e32eb7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e32eb7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</w:style>
  <w:style w:type="table" w:customStyle="1" w:styleId="ListTable6Colorful">
    <w:name w:val="List Table 6 Colorful"/>
    <w:uiPriority w:val="99"/>
    <w:rsid w:val="00e32eb7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e32eb7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e32eb7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e32eb7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e32eb7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e32eb7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e32eb7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e32eb7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e32eb7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e32eb7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e32eb7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e32eb7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e32eb7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e32eb7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e32eb7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e32eb7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e32eb7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e32eb7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e32eb7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e32eb7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e32eb7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e32eb7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e32eb7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e32eb7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e32eb7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e32eb7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e32eb7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e32eb7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e32eb7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e32eb7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e32eb7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e32eb7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e32eb7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e32eb7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e32eb7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19653&amp;dst=100009&amp;field=134&amp;date=22.09.2022" TargetMode="External"/><Relationship Id="rId3" Type="http://schemas.openxmlformats.org/officeDocument/2006/relationships/hyperlink" Target="https://login.consultant.ru/link/?req=doc&amp;base=RLAW404&amp;n=85159&amp;dst=100197&amp;field=134&amp;date=22.09.2022" TargetMode="External"/><Relationship Id="rId4" Type="http://schemas.openxmlformats.org/officeDocument/2006/relationships/hyperlink" Target="https://login.consultant.ru/link/?req=doc&amp;base=RLAW404&amp;n=85159&amp;dst=100197&amp;field=134&amp;date=22.09.2022" TargetMode="External"/><Relationship Id="rId5" Type="http://schemas.openxmlformats.org/officeDocument/2006/relationships/hyperlink" Target="https://login.consultant.ru/link/?req=doc&amp;base=RLAW404&amp;n=85159&amp;dst=100285&amp;field=134&amp;date=22.09.2022" TargetMode="External"/><Relationship Id="rId6" Type="http://schemas.openxmlformats.org/officeDocument/2006/relationships/hyperlink" Target="https://login.consultant.ru/link/?req=doc&amp;base=RLAW404&amp;n=85159&amp;dst=100290&amp;field=134&amp;date=22.09.2022" TargetMode="External"/><Relationship Id="rId7" Type="http://schemas.openxmlformats.org/officeDocument/2006/relationships/hyperlink" Target="https://login.consultant.ru/link/?req=doc&amp;base=RLAW404&amp;n=85159&amp;dst=100311&amp;field=134&amp;date=22.09.2022" TargetMode="External"/><Relationship Id="rId8" Type="http://schemas.openxmlformats.org/officeDocument/2006/relationships/hyperlink" Target="https://login.consultant.ru/link/?req=doc&amp;base=RLAW404&amp;n=85159&amp;dst=100315&amp;field=134&amp;date=22.09.2022" TargetMode="External"/><Relationship Id="rId9" Type="http://schemas.openxmlformats.org/officeDocument/2006/relationships/hyperlink" Target="https://login.consultant.ru/link/?req=doc&amp;base=RLAW404&amp;n=85159&amp;dst=100318&amp;field=134&amp;date=22.09.2022" TargetMode="External"/><Relationship Id="rId10" Type="http://schemas.openxmlformats.org/officeDocument/2006/relationships/hyperlink" Target="https://login.consultant.ru/link/?req=doc&amp;base=RLAW404&amp;n=85159&amp;dst=100324&amp;field=134&amp;date=22.09.2022" TargetMode="External"/><Relationship Id="rId11" Type="http://schemas.openxmlformats.org/officeDocument/2006/relationships/hyperlink" Target="https://login.consultant.ru/link/?req=doc&amp;base=RLAW404&amp;n=85159&amp;dst=100327&amp;field=134&amp;date=22.09.2022" TargetMode="External"/><Relationship Id="rId12" Type="http://schemas.openxmlformats.org/officeDocument/2006/relationships/hyperlink" Target="https://login.consultant.ru/link/?req=doc&amp;base=RLAW404&amp;n=85159&amp;dst=100225&amp;field=134&amp;date=22.09.2022" TargetMode="External"/><Relationship Id="rId13" Type="http://schemas.openxmlformats.org/officeDocument/2006/relationships/hyperlink" Target="https://login.consultant.ru/link/?req=doc&amp;base=RLAW404&amp;n=85159&amp;dst=100321&amp;field=134&amp;date=22.09.2022" TargetMode="External"/><Relationship Id="rId14" Type="http://schemas.openxmlformats.org/officeDocument/2006/relationships/hyperlink" Target="https://login.consultant.ru/link/?req=doc&amp;base=RLAW404&amp;n=85159&amp;dst=100330&amp;field=134&amp;date=22.09.2022" TargetMode="External"/><Relationship Id="rId15" Type="http://schemas.openxmlformats.org/officeDocument/2006/relationships/hyperlink" Target="https://login.consultant.ru/link/?req=doc&amp;base=RLAW404&amp;n=85159&amp;dst=100339&amp;field=134&amp;date=22.09.2022" TargetMode="External"/><Relationship Id="rId16" Type="http://schemas.openxmlformats.org/officeDocument/2006/relationships/hyperlink" Target="https://login.consultant.ru/link/?req=doc&amp;base=RLAW404&amp;n=85159&amp;dst=100346&amp;field=134&amp;date=22.09.2022" TargetMode="External"/><Relationship Id="rId17" Type="http://schemas.openxmlformats.org/officeDocument/2006/relationships/hyperlink" Target="https://login.consultant.ru/link/?req=doc&amp;base=RLAW404&amp;n=85159&amp;dst=100358&amp;field=134&amp;date=22.09.2022" TargetMode="External"/><Relationship Id="rId18" Type="http://schemas.openxmlformats.org/officeDocument/2006/relationships/hyperlink" Target="https://login.consultant.ru/link/?req=doc&amp;base=RLAW404&amp;n=85159&amp;dst=100343&amp;field=134&amp;date=22.09.2022" TargetMode="External"/><Relationship Id="rId19" Type="http://schemas.openxmlformats.org/officeDocument/2006/relationships/hyperlink" Target="https://login.consultant.ru/link/?req=doc&amp;base=RLAW404&amp;n=85159&amp;dst=100349&amp;field=134&amp;date=22.09.2022" TargetMode="External"/><Relationship Id="rId20" Type="http://schemas.openxmlformats.org/officeDocument/2006/relationships/hyperlink" Target="https://login.consultant.ru/link/?req=doc&amp;base=RLAW404&amp;n=85159&amp;dst=100355&amp;field=134&amp;date=22.09.2022" TargetMode="External"/><Relationship Id="rId21" Type="http://schemas.openxmlformats.org/officeDocument/2006/relationships/hyperlink" Target="https://login.consultant.ru/link/?req=doc&amp;base=LAW&amp;n=419653&amp;dst=100070&amp;field=134&amp;date=22.09.2022" TargetMode="External"/><Relationship Id="rId22" Type="http://schemas.openxmlformats.org/officeDocument/2006/relationships/image" Target="media/image1.png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LibreOffice/7.2.5.2$Windows_X86_64 LibreOffice_project/499f9727c189e6ef3471021d6132d4c694f357e5</Application>
  <AppVersion>15.0000</AppVersion>
  <Pages>13</Pages>
  <Words>2985</Words>
  <Characters>23681</Characters>
  <CharactersWithSpaces>27096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2022-10-18T13:52:08Z</cp:lastPrinted>
  <dcterms:modified xsi:type="dcterms:W3CDTF">2022-10-18T13:57:37Z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